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27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0D9"/>
        <w:tblLook w:val="04A0"/>
      </w:tblPr>
      <w:tblGrid>
        <w:gridCol w:w="10271"/>
      </w:tblGrid>
      <w:tr w:rsidR="009F327A" w:rsidTr="006459EA">
        <w:trPr>
          <w:trHeight w:val="13363"/>
        </w:trPr>
        <w:tc>
          <w:tcPr>
            <w:tcW w:w="10271" w:type="dxa"/>
            <w:shd w:val="clear" w:color="auto" w:fill="FFF0D9"/>
          </w:tcPr>
          <w:p w:rsidR="009F327A" w:rsidRDefault="006459EA" w:rsidP="00AA2A4B">
            <w:pPr>
              <w:ind w:left="-1134"/>
              <w:jc w:val="both"/>
              <w:rPr>
                <w:rFonts w:ascii="Georgia" w:hAnsi="Georgia"/>
              </w:rPr>
            </w:pPr>
            <w:r>
              <w:rPr>
                <w:rFonts w:ascii="Georgia" w:hAnsi="Georgia"/>
                <w:noProof/>
              </w:rPr>
              <w:pict>
                <v:shapetype id="_x0000_t202" coordsize="21600,21600" o:spt="202" path="m,l,21600r21600,l21600,xe">
                  <v:stroke joinstyle="miter"/>
                  <v:path gradientshapeok="t" o:connecttype="rect"/>
                </v:shapetype>
                <v:shape id="_x0000_s1031" type="#_x0000_t202" style="position:absolute;left:0;text-align:left;margin-left:-21.1pt;margin-top:.55pt;width:271.4pt;height:667.75pt;z-index:251680768;mso-width-relative:margin;mso-height-relative:margin" fillcolor="#d8d8d8 [2732]" stroked="f">
                  <v:fill opacity="26214f"/>
                  <v:textbox style="mso-next-textbox:#_x0000_s1031">
                    <w:txbxContent>
                      <w:p w:rsidR="002F3044" w:rsidRDefault="002F3044" w:rsidP="0012400C">
                        <w:pPr>
                          <w:jc w:val="center"/>
                          <w:rPr>
                            <w:b/>
                            <w:sz w:val="20"/>
                            <w:szCs w:val="20"/>
                          </w:rPr>
                        </w:pPr>
                      </w:p>
                      <w:p w:rsidR="0012400C" w:rsidRPr="002F3044" w:rsidRDefault="0012400C" w:rsidP="0012400C">
                        <w:pPr>
                          <w:jc w:val="center"/>
                          <w:rPr>
                            <w:b/>
                            <w:sz w:val="24"/>
                            <w:szCs w:val="24"/>
                          </w:rPr>
                        </w:pPr>
                        <w:r w:rsidRPr="002F3044">
                          <w:rPr>
                            <w:b/>
                            <w:sz w:val="24"/>
                            <w:szCs w:val="24"/>
                          </w:rPr>
                          <w:t xml:space="preserve">Τέχνη πέρα από την όραση </w:t>
                        </w:r>
                      </w:p>
                      <w:p w:rsidR="0012400C" w:rsidRPr="002F3044" w:rsidRDefault="0012400C" w:rsidP="0012400C">
                        <w:pPr>
                          <w:jc w:val="center"/>
                          <w:rPr>
                            <w:b/>
                            <w:bCs/>
                            <w:sz w:val="24"/>
                            <w:szCs w:val="24"/>
                          </w:rPr>
                        </w:pPr>
                        <w:r w:rsidRPr="002F3044">
                          <w:rPr>
                            <w:b/>
                            <w:sz w:val="24"/>
                            <w:szCs w:val="24"/>
                          </w:rPr>
                          <w:t xml:space="preserve">    </w:t>
                        </w:r>
                        <w:r w:rsidRPr="002F3044">
                          <w:rPr>
                            <w:b/>
                            <w:bCs/>
                            <w:sz w:val="24"/>
                            <w:szCs w:val="24"/>
                          </w:rPr>
                          <w:t>στην Αρχαία Αγορά της Αθήνας</w:t>
                        </w:r>
                      </w:p>
                      <w:p w:rsidR="0012400C" w:rsidRPr="002F3044" w:rsidRDefault="0012400C" w:rsidP="0012400C">
                        <w:pPr>
                          <w:jc w:val="center"/>
                          <w:rPr>
                            <w:b/>
                            <w:bCs/>
                            <w:sz w:val="24"/>
                            <w:szCs w:val="24"/>
                          </w:rPr>
                        </w:pPr>
                        <w:r w:rsidRPr="002F3044">
                          <w:rPr>
                            <w:b/>
                            <w:bCs/>
                            <w:sz w:val="24"/>
                            <w:szCs w:val="24"/>
                          </w:rPr>
                          <w:t>Οκτώβριος 201</w:t>
                        </w:r>
                        <w:r w:rsidRPr="006459EA">
                          <w:rPr>
                            <w:b/>
                            <w:bCs/>
                            <w:sz w:val="24"/>
                            <w:szCs w:val="24"/>
                          </w:rPr>
                          <w:t>4</w:t>
                        </w:r>
                      </w:p>
                      <w:p w:rsidR="0012400C" w:rsidRPr="00A034BC" w:rsidRDefault="0012400C" w:rsidP="0012400C">
                        <w:pPr>
                          <w:jc w:val="center"/>
                          <w:rPr>
                            <w:b/>
                            <w:bCs/>
                            <w:sz w:val="20"/>
                            <w:szCs w:val="20"/>
                          </w:rPr>
                        </w:pPr>
                      </w:p>
                      <w:p w:rsidR="00A034BC" w:rsidRPr="00A034BC" w:rsidRDefault="0012400C" w:rsidP="002F3044">
                        <w:pPr>
                          <w:shd w:val="clear" w:color="auto" w:fill="C9CFD7"/>
                          <w:tabs>
                            <w:tab w:val="left" w:pos="851"/>
                          </w:tabs>
                          <w:ind w:right="159"/>
                          <w:jc w:val="both"/>
                          <w:rPr>
                            <w:sz w:val="20"/>
                            <w:szCs w:val="20"/>
                          </w:rPr>
                        </w:pPr>
                        <w:r w:rsidRPr="00A034BC">
                          <w:rPr>
                            <w:sz w:val="20"/>
                            <w:szCs w:val="20"/>
                          </w:rPr>
                          <w:t xml:space="preserve">           </w:t>
                        </w:r>
                      </w:p>
                      <w:p w:rsidR="002F3044" w:rsidRDefault="002F3044" w:rsidP="0012400C">
                        <w:pPr>
                          <w:tabs>
                            <w:tab w:val="left" w:pos="851"/>
                          </w:tabs>
                          <w:ind w:right="159"/>
                          <w:jc w:val="both"/>
                          <w:rPr>
                            <w:sz w:val="20"/>
                            <w:szCs w:val="20"/>
                          </w:rPr>
                        </w:pPr>
                      </w:p>
                      <w:p w:rsidR="0079648F" w:rsidRPr="0079648F" w:rsidRDefault="00061B2C" w:rsidP="0079648F">
                        <w:pPr>
                          <w:tabs>
                            <w:tab w:val="left" w:pos="851"/>
                          </w:tabs>
                          <w:ind w:left="284" w:right="332"/>
                          <w:jc w:val="both"/>
                          <w:rPr>
                            <w:rFonts w:ascii="Calibri" w:hAnsi="Calibri"/>
                            <w:color w:val="0D0D0D"/>
                            <w:sz w:val="20"/>
                            <w:szCs w:val="20"/>
                          </w:rPr>
                        </w:pPr>
                        <w:r>
                          <w:rPr>
                            <w:rFonts w:ascii="Calibri" w:hAnsi="Calibri"/>
                            <w:color w:val="0D0D0D"/>
                            <w:sz w:val="20"/>
                            <w:szCs w:val="20"/>
                          </w:rPr>
                          <w:t xml:space="preserve">            </w:t>
                        </w:r>
                        <w:r w:rsidR="0079648F" w:rsidRPr="0079648F">
                          <w:rPr>
                            <w:rFonts w:ascii="Calibri" w:hAnsi="Calibri"/>
                            <w:color w:val="0D0D0D"/>
                            <w:sz w:val="20"/>
                            <w:szCs w:val="20"/>
                          </w:rPr>
                          <w:t xml:space="preserve">Ο Οκτώβριος έχει καθιερωθεί ως μήνας ευαισθητοποίησης </w:t>
                        </w:r>
                        <w:r w:rsidR="0079648F" w:rsidRPr="0079648F">
                          <w:rPr>
                            <w:rFonts w:ascii="Calibri" w:hAnsi="Calibri"/>
                            <w:bCs/>
                            <w:color w:val="0D0D0D"/>
                            <w:sz w:val="20"/>
                            <w:szCs w:val="20"/>
                          </w:rPr>
                          <w:t>απέναντι στην τυφλότητα. Στους χώρους πολιτισμικής αναφοράς διοργανώνονται δράσεις που</w:t>
                        </w:r>
                        <w:r w:rsidR="0079648F" w:rsidRPr="0079648F">
                          <w:rPr>
                            <w:rFonts w:ascii="Calibri" w:hAnsi="Calibri"/>
                            <w:color w:val="0D0D0D"/>
                            <w:sz w:val="20"/>
                            <w:szCs w:val="20"/>
                          </w:rPr>
                          <w:t xml:space="preserve"> σκοπό έχουν να καταστήσουν την τέχνη προσβάσιμη σε άτομα με προβλήματα όρασης.</w:t>
                        </w:r>
                      </w:p>
                      <w:p w:rsidR="0079648F" w:rsidRPr="0079648F" w:rsidRDefault="0079648F" w:rsidP="0079648F">
                        <w:pPr>
                          <w:tabs>
                            <w:tab w:val="left" w:pos="851"/>
                          </w:tabs>
                          <w:ind w:left="284" w:right="332"/>
                          <w:jc w:val="both"/>
                          <w:rPr>
                            <w:rFonts w:ascii="Calibri" w:hAnsi="Calibri"/>
                            <w:bCs/>
                            <w:color w:val="0D0D0D"/>
                            <w:sz w:val="20"/>
                            <w:szCs w:val="20"/>
                          </w:rPr>
                        </w:pPr>
                        <w:r w:rsidRPr="006459EA">
                          <w:rPr>
                            <w:rFonts w:ascii="Calibri" w:hAnsi="Calibri"/>
                            <w:color w:val="0D0D0D"/>
                            <w:sz w:val="20"/>
                            <w:szCs w:val="20"/>
                          </w:rPr>
                          <w:tab/>
                        </w:r>
                        <w:r w:rsidRPr="0079648F">
                          <w:rPr>
                            <w:rFonts w:ascii="Calibri" w:hAnsi="Calibri"/>
                            <w:color w:val="0D0D0D"/>
                            <w:sz w:val="20"/>
                            <w:szCs w:val="20"/>
                          </w:rPr>
                          <w:t xml:space="preserve">Η Α΄ ΕΠΚΑ, με την πεποίθηση ότι η επαφή και η εξοικείωση με τα πολιτιστικά αγαθά συμβάλλει στην καλύτερη ποιότητα ζωής όλων μας, συμμετέχει για δεύτερη χρονιά στην πρωτοβουλία και </w:t>
                        </w:r>
                        <w:r w:rsidRPr="0079648F">
                          <w:rPr>
                            <w:rFonts w:ascii="Calibri" w:hAnsi="Calibri"/>
                            <w:bCs/>
                            <w:color w:val="0D0D0D"/>
                            <w:sz w:val="20"/>
                            <w:szCs w:val="20"/>
                          </w:rPr>
                          <w:t>προσκαλεί τα μέλη των Σωματείων Τυφλών (Εθνική Ομοσπονδία Τυφλών, Κέντρο Εκπαίδευσης και Αποκατάστασης Τυφλών, Πανελλήνιος Σύνδεσμος Τυφλών, Φάρος Τυφλών Ελλάδος, Μουσείο Αφής), καθώς και μεμονωμένους επισκέπτες με προβλήματα όρασης</w:t>
                        </w:r>
                        <w:r>
                          <w:rPr>
                            <w:rFonts w:ascii="Calibri" w:hAnsi="Calibri"/>
                            <w:bCs/>
                            <w:color w:val="0D0D0D"/>
                            <w:sz w:val="20"/>
                            <w:szCs w:val="20"/>
                          </w:rPr>
                          <w:t>,</w:t>
                        </w:r>
                        <w:r w:rsidRPr="0079648F">
                          <w:rPr>
                            <w:rFonts w:ascii="Calibri" w:hAnsi="Calibri"/>
                            <w:bCs/>
                            <w:color w:val="0D0D0D"/>
                            <w:sz w:val="20"/>
                            <w:szCs w:val="20"/>
                          </w:rPr>
                          <w:t xml:space="preserve"> στον </w:t>
                        </w:r>
                        <w:r w:rsidRPr="0079648F">
                          <w:rPr>
                            <w:rFonts w:ascii="Calibri" w:hAnsi="Calibri"/>
                            <w:color w:val="0D0D0D"/>
                            <w:sz w:val="20"/>
                            <w:szCs w:val="20"/>
                          </w:rPr>
                          <w:t>αρχαιολογικό χώρο</w:t>
                        </w:r>
                        <w:r>
                          <w:rPr>
                            <w:rFonts w:ascii="Calibri" w:hAnsi="Calibri"/>
                            <w:color w:val="0D0D0D"/>
                            <w:sz w:val="20"/>
                            <w:szCs w:val="20"/>
                          </w:rPr>
                          <w:t xml:space="preserve"> και το Μουσείο Αρχαίας Αγοράς,  </w:t>
                        </w:r>
                        <w:r w:rsidRPr="0079648F">
                          <w:rPr>
                            <w:rFonts w:ascii="Calibri" w:hAnsi="Calibri"/>
                            <w:bCs/>
                            <w:color w:val="0D0D0D"/>
                            <w:sz w:val="20"/>
                            <w:szCs w:val="20"/>
                          </w:rPr>
                          <w:t xml:space="preserve">στην δράση με τίτλο </w:t>
                        </w:r>
                        <w:r w:rsidRPr="0079648F">
                          <w:rPr>
                            <w:rFonts w:ascii="Calibri" w:hAnsi="Calibri"/>
                            <w:b/>
                            <w:bCs/>
                            <w:color w:val="0D0D0D"/>
                            <w:sz w:val="20"/>
                            <w:szCs w:val="20"/>
                          </w:rPr>
                          <w:t>«Αγγίζοντας … ποιήματα από μάρμαρο».</w:t>
                        </w:r>
                      </w:p>
                      <w:p w:rsidR="0079648F" w:rsidRPr="00A23829" w:rsidRDefault="0079648F" w:rsidP="0079648F">
                        <w:pPr>
                          <w:ind w:left="284" w:right="332" w:firstLine="720"/>
                          <w:jc w:val="both"/>
                          <w:rPr>
                            <w:rFonts w:ascii="Calibri" w:hAnsi="Calibri"/>
                            <w:color w:val="0D0D0D"/>
                          </w:rPr>
                        </w:pPr>
                        <w:r w:rsidRPr="0079648F">
                          <w:rPr>
                            <w:rFonts w:ascii="Calibri" w:hAnsi="Calibri"/>
                            <w:bCs/>
                            <w:color w:val="0D0D0D"/>
                            <w:sz w:val="20"/>
                            <w:szCs w:val="20"/>
                          </w:rPr>
                          <w:t xml:space="preserve">Οι συμμετέχοντες θα έχουν την ευκαιρία να ξεναγηθούν από αρχαιολόγους του χώρου και να περιηγηθούν απτικά τον Ναό του Ηφαίστου και της Αθηνάς, τον καλύτερα σωζόμενο ναό της αρχαιότητας, όπου οι δύο θεοί συλλατρεύονταν ως προστάτες των τεχνών και των τεχνιτών. Στη συνέχεια, στο Μουσείο Αρχαίας Αγοράς στη Στοά Αττάλου, οι επισκέπτες θα πάρουν μέρος σε μια απτική περιήγηση τεκμηρίων της γλυπτικής τέχνης, που θα αποκαλύψει τον ρόλο της γλυπτικής στην συλλογική μνήμη της αρχαίας πόλης. </w:t>
                        </w:r>
                        <w:r w:rsidRPr="00A23829">
                          <w:rPr>
                            <w:rFonts w:ascii="Calibri" w:hAnsi="Calibri"/>
                            <w:color w:val="0D0D0D"/>
                          </w:rPr>
                          <w:t>Για τους μικρούς επισκέπτες θα πραγματοποιηθεί κατάλληλα προσαρμοσμένο εκπαιδευτικό πρόγραμμα με το ίδιο θέμα.</w:t>
                        </w:r>
                      </w:p>
                    </w:txbxContent>
                  </v:textbox>
                </v:shape>
              </w:pict>
            </w:r>
            <w:r>
              <w:rPr>
                <w:rFonts w:ascii="Georgia" w:hAnsi="Georgia"/>
                <w:noProof/>
              </w:rPr>
              <w:pict>
                <v:shape id="_x0000_s1030" type="#_x0000_t202" style="position:absolute;left:0;text-align:left;margin-left:-259.7pt;margin-top:51.95pt;width:242.75pt;height:611.65pt;z-index:251675648;mso-width-relative:margin;mso-height-relative:margin" filled="f" stroked="f">
                  <v:textbox style="mso-next-textbox:#_x0000_s1030">
                    <w:txbxContent>
                      <w:p w:rsidR="002F3044" w:rsidRDefault="002F3044" w:rsidP="002F3044">
                        <w:pPr>
                          <w:tabs>
                            <w:tab w:val="left" w:pos="851"/>
                          </w:tabs>
                          <w:ind w:right="159"/>
                          <w:jc w:val="both"/>
                          <w:rPr>
                            <w:b/>
                            <w:bCs/>
                            <w:sz w:val="20"/>
                            <w:szCs w:val="20"/>
                          </w:rPr>
                        </w:pPr>
                        <w:r w:rsidRPr="002F3044">
                          <w:rPr>
                            <w:b/>
                            <w:bCs/>
                            <w:noProof/>
                            <w:sz w:val="20"/>
                            <w:szCs w:val="20"/>
                          </w:rPr>
                          <w:drawing>
                            <wp:inline distT="0" distB="0" distL="0" distR="0">
                              <wp:extent cx="2882265" cy="909652"/>
                              <wp:effectExtent l="1905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2882265" cy="909652"/>
                                      </a:xfrm>
                                      <a:prstGeom prst="rect">
                                        <a:avLst/>
                                      </a:prstGeom>
                                      <a:noFill/>
                                      <a:ln w="9525">
                                        <a:noFill/>
                                        <a:miter lim="800000"/>
                                        <a:headEnd/>
                                        <a:tailEnd/>
                                      </a:ln>
                                    </pic:spPr>
                                  </pic:pic>
                                </a:graphicData>
                              </a:graphic>
                            </wp:inline>
                          </w:drawing>
                        </w:r>
                      </w:p>
                      <w:p w:rsidR="002F3044" w:rsidRDefault="002F3044" w:rsidP="002F3044">
                        <w:pPr>
                          <w:tabs>
                            <w:tab w:val="left" w:pos="851"/>
                          </w:tabs>
                          <w:ind w:right="159"/>
                          <w:jc w:val="both"/>
                          <w:rPr>
                            <w:b/>
                            <w:bCs/>
                            <w:sz w:val="20"/>
                            <w:szCs w:val="20"/>
                          </w:rPr>
                        </w:pPr>
                      </w:p>
                      <w:p w:rsidR="00AA2A4B" w:rsidRPr="006459EA" w:rsidRDefault="00AA2A4B" w:rsidP="00AA2A4B">
                        <w:pPr>
                          <w:tabs>
                            <w:tab w:val="left" w:pos="851"/>
                          </w:tabs>
                          <w:ind w:right="159"/>
                          <w:jc w:val="both"/>
                          <w:rPr>
                            <w:b/>
                            <w:bCs/>
                            <w:sz w:val="24"/>
                            <w:szCs w:val="24"/>
                          </w:rPr>
                        </w:pPr>
                        <w:r w:rsidRPr="00AA2A4B">
                          <w:rPr>
                            <w:b/>
                            <w:bCs/>
                            <w:sz w:val="24"/>
                            <w:szCs w:val="24"/>
                          </w:rPr>
                          <w:t>«Αγγίζοντας … ποιήματα από μάρμαρο»</w:t>
                        </w:r>
                      </w:p>
                      <w:p w:rsidR="002F3044" w:rsidRDefault="002F3044" w:rsidP="002F3044">
                        <w:pPr>
                          <w:tabs>
                            <w:tab w:val="left" w:pos="851"/>
                          </w:tabs>
                          <w:ind w:right="159"/>
                          <w:jc w:val="both"/>
                          <w:rPr>
                            <w:b/>
                            <w:bCs/>
                            <w:sz w:val="20"/>
                            <w:szCs w:val="20"/>
                          </w:rPr>
                        </w:pPr>
                      </w:p>
                      <w:p w:rsidR="00DC6E82" w:rsidRDefault="00DC6E82" w:rsidP="00DC6E82">
                        <w:pPr>
                          <w:jc w:val="both"/>
                          <w:rPr>
                            <w:bCs/>
                          </w:rPr>
                        </w:pPr>
                      </w:p>
                      <w:p w:rsidR="00DC6E82" w:rsidRDefault="00DC6E82" w:rsidP="00DC6E82">
                        <w:pPr>
                          <w:jc w:val="both"/>
                          <w:rPr>
                            <w:bCs/>
                          </w:rPr>
                        </w:pPr>
                      </w:p>
                      <w:p w:rsidR="00DC6E82" w:rsidRDefault="00DC6E82" w:rsidP="00DC6E82">
                        <w:pPr>
                          <w:jc w:val="both"/>
                          <w:rPr>
                            <w:bCs/>
                          </w:rPr>
                        </w:pPr>
                      </w:p>
                      <w:p w:rsidR="0012400C" w:rsidRDefault="0012400C" w:rsidP="00DC6E82">
                        <w:pPr>
                          <w:jc w:val="both"/>
                          <w:rPr>
                            <w:bCs/>
                          </w:rPr>
                        </w:pPr>
                        <w:r>
                          <w:rPr>
                            <w:bCs/>
                          </w:rPr>
                          <w:t xml:space="preserve">Ημέρες διεξαγωγής δράσης : </w:t>
                        </w:r>
                      </w:p>
                      <w:p w:rsidR="00DC6E82" w:rsidRDefault="0012400C" w:rsidP="00DC6E82">
                        <w:pPr>
                          <w:jc w:val="both"/>
                          <w:rPr>
                            <w:b/>
                            <w:bCs/>
                          </w:rPr>
                        </w:pPr>
                        <w:r>
                          <w:rPr>
                            <w:b/>
                            <w:bCs/>
                          </w:rPr>
                          <w:t>Τρίτη 21 και Τετάρτη 22 Οκτωβρίου</w:t>
                        </w:r>
                        <w:r w:rsidR="002F3044">
                          <w:rPr>
                            <w:b/>
                            <w:bCs/>
                          </w:rPr>
                          <w:t xml:space="preserve"> 2014</w:t>
                        </w:r>
                      </w:p>
                      <w:p w:rsidR="0012400C" w:rsidRPr="0012400C" w:rsidRDefault="0012400C" w:rsidP="0012400C">
                        <w:pPr>
                          <w:spacing w:line="360" w:lineRule="auto"/>
                          <w:jc w:val="both"/>
                          <w:outlineLvl w:val="0"/>
                          <w:rPr>
                            <w:bCs/>
                            <w:sz w:val="20"/>
                            <w:szCs w:val="20"/>
                          </w:rPr>
                        </w:pPr>
                        <w:r w:rsidRPr="0012400C">
                          <w:rPr>
                            <w:bCs/>
                            <w:sz w:val="20"/>
                            <w:szCs w:val="20"/>
                          </w:rPr>
                          <w:t xml:space="preserve">Ώρες διεξαγωγής : 11:00 π.μ. – 13:00 π.μ. </w:t>
                        </w:r>
                      </w:p>
                      <w:p w:rsidR="0012400C" w:rsidRDefault="0012400C" w:rsidP="0012400C">
                        <w:pPr>
                          <w:spacing w:line="360" w:lineRule="auto"/>
                          <w:outlineLvl w:val="0"/>
                          <w:rPr>
                            <w:b/>
                            <w:bCs/>
                            <w:u w:val="single"/>
                          </w:rPr>
                        </w:pPr>
                      </w:p>
                      <w:p w:rsidR="0012400C" w:rsidRDefault="0012400C" w:rsidP="0012400C">
                        <w:pPr>
                          <w:spacing w:line="360" w:lineRule="auto"/>
                          <w:outlineLvl w:val="0"/>
                          <w:rPr>
                            <w:u w:val="single"/>
                          </w:rPr>
                        </w:pPr>
                        <w:r>
                          <w:rPr>
                            <w:b/>
                            <w:bCs/>
                            <w:u w:val="single"/>
                          </w:rPr>
                          <w:t>Απαραίτητη η δήλωση συμμετοχής</w:t>
                        </w:r>
                        <w:r>
                          <w:rPr>
                            <w:u w:val="single"/>
                          </w:rPr>
                          <w:t xml:space="preserve">. </w:t>
                        </w:r>
                      </w:p>
                      <w:p w:rsidR="002F3044" w:rsidRDefault="00DC6E82" w:rsidP="002F3044">
                        <w:pPr>
                          <w:rPr>
                            <w:color w:val="595959" w:themeColor="text1" w:themeTint="A6"/>
                          </w:rPr>
                        </w:pPr>
                        <w:r w:rsidRPr="00032414">
                          <w:rPr>
                            <w:color w:val="595959" w:themeColor="text1" w:themeTint="A6"/>
                          </w:rPr>
                          <w:t xml:space="preserve">Πληροφορίες και δηλώσεις συμμετοχής: </w:t>
                        </w:r>
                      </w:p>
                      <w:p w:rsidR="00DC6E82" w:rsidRPr="00032414" w:rsidRDefault="00DC6E82" w:rsidP="00DC6E82">
                        <w:pPr>
                          <w:rPr>
                            <w:color w:val="595959" w:themeColor="text1" w:themeTint="A6"/>
                          </w:rPr>
                        </w:pPr>
                        <w:r w:rsidRPr="00032414">
                          <w:rPr>
                            <w:color w:val="595959" w:themeColor="text1" w:themeTint="A6"/>
                          </w:rPr>
                          <w:t>210 – 3214825</w:t>
                        </w:r>
                        <w:r w:rsidR="00A034BC">
                          <w:rPr>
                            <w:color w:val="595959" w:themeColor="text1" w:themeTint="A6"/>
                          </w:rPr>
                          <w:t xml:space="preserve">, </w:t>
                        </w:r>
                        <w:r w:rsidRPr="00032414">
                          <w:rPr>
                            <w:color w:val="595959" w:themeColor="text1" w:themeTint="A6"/>
                          </w:rPr>
                          <w:t xml:space="preserve">Μ. Λιάσκα, Κ. Χαρχάλου, </w:t>
                        </w:r>
                      </w:p>
                      <w:p w:rsidR="003F0DCA" w:rsidRDefault="003F0DCA" w:rsidP="002D38EB">
                        <w:pPr>
                          <w:pBdr>
                            <w:top w:val="single" w:sz="4" w:space="1" w:color="auto"/>
                          </w:pBdr>
                          <w:rPr>
                            <w:color w:val="595959" w:themeColor="text1" w:themeTint="A6"/>
                          </w:rPr>
                        </w:pPr>
                      </w:p>
                      <w:p w:rsidR="002F3044" w:rsidRDefault="002F3044" w:rsidP="002D38EB">
                        <w:pPr>
                          <w:pBdr>
                            <w:top w:val="single" w:sz="4" w:space="1" w:color="auto"/>
                          </w:pBdr>
                          <w:rPr>
                            <w:color w:val="595959" w:themeColor="text1" w:themeTint="A6"/>
                          </w:rPr>
                        </w:pPr>
                      </w:p>
                      <w:p w:rsidR="002F3044" w:rsidRDefault="002F3044" w:rsidP="002D38EB">
                        <w:pPr>
                          <w:pBdr>
                            <w:top w:val="single" w:sz="4" w:space="1" w:color="auto"/>
                          </w:pBdr>
                          <w:rPr>
                            <w:color w:val="595959" w:themeColor="text1" w:themeTint="A6"/>
                          </w:rPr>
                        </w:pPr>
                        <w:r w:rsidRPr="002F3044">
                          <w:rPr>
                            <w:noProof/>
                            <w:color w:val="595959" w:themeColor="text1" w:themeTint="A6"/>
                          </w:rPr>
                          <w:drawing>
                            <wp:inline distT="0" distB="0" distL="0" distR="0">
                              <wp:extent cx="2882265" cy="1199791"/>
                              <wp:effectExtent l="19050" t="0" r="0" b="0"/>
                              <wp:docPr id="20"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2882265" cy="1199791"/>
                                      </a:xfrm>
                                      <a:prstGeom prst="rect">
                                        <a:avLst/>
                                      </a:prstGeom>
                                      <a:noFill/>
                                      <a:ln w="9525">
                                        <a:noFill/>
                                        <a:miter lim="800000"/>
                                        <a:headEnd/>
                                        <a:tailEnd/>
                                      </a:ln>
                                    </pic:spPr>
                                  </pic:pic>
                                </a:graphicData>
                              </a:graphic>
                            </wp:inline>
                          </w:drawing>
                        </w:r>
                      </w:p>
                    </w:txbxContent>
                  </v:textbox>
                </v:shape>
              </w:pict>
            </w:r>
            <w:r w:rsidR="00AA2A4B">
              <w:rPr>
                <w:rFonts w:ascii="Georgia" w:hAnsi="Georgia"/>
                <w:noProof/>
              </w:rPr>
              <w:drawing>
                <wp:anchor distT="0" distB="0" distL="114300" distR="114300" simplePos="0" relativeHeight="251674623" behindDoc="1" locked="0" layoutInCell="1" allowOverlap="1">
                  <wp:simplePos x="0" y="0"/>
                  <wp:positionH relativeFrom="column">
                    <wp:posOffset>-45720</wp:posOffset>
                  </wp:positionH>
                  <wp:positionV relativeFrom="paragraph">
                    <wp:posOffset>111125</wp:posOffset>
                  </wp:positionV>
                  <wp:extent cx="3217545" cy="417830"/>
                  <wp:effectExtent l="19050" t="0" r="1905" b="0"/>
                  <wp:wrapSquare wrapText="bothSides"/>
                  <wp:docPr id="1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217545" cy="417830"/>
                          </a:xfrm>
                          <a:prstGeom prst="rect">
                            <a:avLst/>
                          </a:prstGeom>
                          <a:noFill/>
                          <a:ln w="9525">
                            <a:noFill/>
                            <a:miter lim="800000"/>
                            <a:headEnd/>
                            <a:tailEnd/>
                          </a:ln>
                        </pic:spPr>
                      </pic:pic>
                    </a:graphicData>
                  </a:graphic>
                </wp:anchor>
              </w:drawing>
            </w:r>
          </w:p>
        </w:tc>
      </w:tr>
    </w:tbl>
    <w:p w:rsidR="002D38EB" w:rsidRPr="00D222B6" w:rsidRDefault="002D38EB" w:rsidP="006459EA">
      <w:pPr>
        <w:rPr>
          <w:rFonts w:ascii="Georgia" w:hAnsi="Georgia"/>
          <w:lang w:val="en-US"/>
        </w:rPr>
      </w:pPr>
    </w:p>
    <w:sectPr w:rsidR="002D38EB" w:rsidRPr="00D222B6" w:rsidSect="0012400C">
      <w:headerReference w:type="default" r:id="rId10"/>
      <w:pgSz w:w="11906" w:h="16838"/>
      <w:pgMar w:top="2063" w:right="1416" w:bottom="709" w:left="1800"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FD3" w:rsidRDefault="00844FD3" w:rsidP="00877D78">
      <w:pPr>
        <w:spacing w:after="0" w:line="240" w:lineRule="auto"/>
      </w:pPr>
      <w:r>
        <w:separator/>
      </w:r>
    </w:p>
  </w:endnote>
  <w:endnote w:type="continuationSeparator" w:id="1">
    <w:p w:rsidR="00844FD3" w:rsidRDefault="00844FD3" w:rsidP="00877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FD3" w:rsidRDefault="00844FD3" w:rsidP="00877D78">
      <w:pPr>
        <w:spacing w:after="0" w:line="240" w:lineRule="auto"/>
      </w:pPr>
      <w:r>
        <w:separator/>
      </w:r>
    </w:p>
  </w:footnote>
  <w:footnote w:type="continuationSeparator" w:id="1">
    <w:p w:rsidR="00844FD3" w:rsidRDefault="00844FD3" w:rsidP="00877D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DCA" w:rsidRPr="00B41D23" w:rsidRDefault="003F0DCA" w:rsidP="00877D78">
    <w:pPr>
      <w:jc w:val="center"/>
      <w:rPr>
        <w:rFonts w:ascii="Trebuchet MS" w:hAnsi="Trebuchet MS"/>
        <w:b/>
        <w:color w:val="595959" w:themeColor="text1" w:themeTint="A6"/>
        <w:sz w:val="28"/>
        <w:szCs w:val="24"/>
      </w:rPr>
    </w:pPr>
    <w:r w:rsidRPr="00B41D23">
      <w:rPr>
        <w:rFonts w:ascii="Trebuchet MS" w:hAnsi="Trebuchet MS"/>
        <w:b/>
        <w:color w:val="595959" w:themeColor="text1" w:themeTint="A6"/>
        <w:sz w:val="28"/>
        <w:szCs w:val="24"/>
      </w:rPr>
      <w:t xml:space="preserve">Α΄ΕΦΟΡΕΙΑ ΠΡΟΪΣΤΟΡΙΚΩΝ ΚΑΙ ΚΛΑΣΙΚΩΝ ΑΡΧΑΙΟΤΗΤΩΝ </w:t>
    </w:r>
    <w:r w:rsidRPr="00B41D23">
      <w:rPr>
        <w:rFonts w:ascii="Trebuchet MS" w:hAnsi="Trebuchet MS"/>
        <w:b/>
        <w:color w:val="595959" w:themeColor="text1" w:themeTint="A6"/>
        <w:sz w:val="24"/>
        <w:szCs w:val="24"/>
      </w:rPr>
      <w:t>ΑΡΧΑΙΟΛΟΓΙΚΟΣ ΧΩΡΟΣ ΚΑΙ ΜΟΥΣΕΙΟ ΑΡΧΑΙΑΣ ΑΓΟΡΑΣ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E7A56"/>
    <w:multiLevelType w:val="hybridMultilevel"/>
    <w:tmpl w:val="118CAFA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footnotePr>
    <w:footnote w:id="0"/>
    <w:footnote w:id="1"/>
  </w:footnotePr>
  <w:endnotePr>
    <w:endnote w:id="0"/>
    <w:endnote w:id="1"/>
  </w:endnotePr>
  <w:compat>
    <w:useFELayout/>
  </w:compat>
  <w:rsids>
    <w:rsidRoot w:val="001436E3"/>
    <w:rsid w:val="00017538"/>
    <w:rsid w:val="00032414"/>
    <w:rsid w:val="00061B2C"/>
    <w:rsid w:val="00087BCA"/>
    <w:rsid w:val="000F19BC"/>
    <w:rsid w:val="0012400C"/>
    <w:rsid w:val="001436E3"/>
    <w:rsid w:val="00185A61"/>
    <w:rsid w:val="001D5827"/>
    <w:rsid w:val="00213812"/>
    <w:rsid w:val="002228AA"/>
    <w:rsid w:val="002605B8"/>
    <w:rsid w:val="00267836"/>
    <w:rsid w:val="002A1F4B"/>
    <w:rsid w:val="002B3241"/>
    <w:rsid w:val="002C241C"/>
    <w:rsid w:val="002D38EB"/>
    <w:rsid w:val="002F3044"/>
    <w:rsid w:val="00333F1B"/>
    <w:rsid w:val="0035725D"/>
    <w:rsid w:val="003D122E"/>
    <w:rsid w:val="003F0DCA"/>
    <w:rsid w:val="0050115B"/>
    <w:rsid w:val="00587DFF"/>
    <w:rsid w:val="006459EA"/>
    <w:rsid w:val="006A0E3D"/>
    <w:rsid w:val="006E7F2D"/>
    <w:rsid w:val="00705B17"/>
    <w:rsid w:val="007317F9"/>
    <w:rsid w:val="00765F1F"/>
    <w:rsid w:val="0079648F"/>
    <w:rsid w:val="00844FD3"/>
    <w:rsid w:val="00847C69"/>
    <w:rsid w:val="008671A1"/>
    <w:rsid w:val="00877D78"/>
    <w:rsid w:val="008A0CC1"/>
    <w:rsid w:val="008C22C6"/>
    <w:rsid w:val="008E397A"/>
    <w:rsid w:val="009229CA"/>
    <w:rsid w:val="009B38DD"/>
    <w:rsid w:val="009F327A"/>
    <w:rsid w:val="00A034BC"/>
    <w:rsid w:val="00A1790F"/>
    <w:rsid w:val="00A41642"/>
    <w:rsid w:val="00A837FB"/>
    <w:rsid w:val="00AA2A4B"/>
    <w:rsid w:val="00AB4A6E"/>
    <w:rsid w:val="00B023EA"/>
    <w:rsid w:val="00B16CB9"/>
    <w:rsid w:val="00B41D23"/>
    <w:rsid w:val="00B56FBB"/>
    <w:rsid w:val="00C159A1"/>
    <w:rsid w:val="00C45119"/>
    <w:rsid w:val="00C763A3"/>
    <w:rsid w:val="00CA0D37"/>
    <w:rsid w:val="00CB441C"/>
    <w:rsid w:val="00CC2BDA"/>
    <w:rsid w:val="00CC46AC"/>
    <w:rsid w:val="00D222B6"/>
    <w:rsid w:val="00D4751C"/>
    <w:rsid w:val="00D9091E"/>
    <w:rsid w:val="00DC6E82"/>
    <w:rsid w:val="00EE3B5C"/>
    <w:rsid w:val="00F160DD"/>
    <w:rsid w:val="00F62C66"/>
    <w:rsid w:val="00F65E91"/>
    <w:rsid w:val="00FD7652"/>
    <w:rsid w:val="00FF3F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3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397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E397A"/>
    <w:rPr>
      <w:rFonts w:ascii="Tahoma" w:hAnsi="Tahoma" w:cs="Tahoma"/>
      <w:sz w:val="16"/>
      <w:szCs w:val="16"/>
    </w:rPr>
  </w:style>
  <w:style w:type="table" w:styleId="a4">
    <w:name w:val="Table Grid"/>
    <w:basedOn w:val="a1"/>
    <w:uiPriority w:val="59"/>
    <w:rsid w:val="008E3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unhideWhenUsed/>
    <w:rsid w:val="00877D78"/>
    <w:pPr>
      <w:tabs>
        <w:tab w:val="center" w:pos="4153"/>
        <w:tab w:val="right" w:pos="8306"/>
      </w:tabs>
      <w:spacing w:after="0" w:line="240" w:lineRule="auto"/>
    </w:pPr>
  </w:style>
  <w:style w:type="character" w:customStyle="1" w:styleId="Char0">
    <w:name w:val="Κεφαλίδα Char"/>
    <w:basedOn w:val="a0"/>
    <w:link w:val="a5"/>
    <w:uiPriority w:val="99"/>
    <w:rsid w:val="00877D78"/>
  </w:style>
  <w:style w:type="paragraph" w:styleId="a6">
    <w:name w:val="footer"/>
    <w:basedOn w:val="a"/>
    <w:link w:val="Char1"/>
    <w:uiPriority w:val="99"/>
    <w:semiHidden/>
    <w:unhideWhenUsed/>
    <w:rsid w:val="00877D78"/>
    <w:pPr>
      <w:tabs>
        <w:tab w:val="center" w:pos="4153"/>
        <w:tab w:val="right" w:pos="8306"/>
      </w:tabs>
      <w:spacing w:after="0" w:line="240" w:lineRule="auto"/>
    </w:pPr>
  </w:style>
  <w:style w:type="character" w:customStyle="1" w:styleId="Char1">
    <w:name w:val="Υποσέλιδο Char"/>
    <w:basedOn w:val="a0"/>
    <w:link w:val="a6"/>
    <w:uiPriority w:val="99"/>
    <w:semiHidden/>
    <w:rsid w:val="00877D78"/>
  </w:style>
  <w:style w:type="paragraph" w:styleId="a7">
    <w:name w:val="List Paragraph"/>
    <w:basedOn w:val="a"/>
    <w:uiPriority w:val="34"/>
    <w:qFormat/>
    <w:rsid w:val="00A1790F"/>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BE2D-90EF-42B8-86DB-7BB71BCA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5</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giota</dc:creator>
  <cp:keywords/>
  <dc:description/>
  <cp:lastModifiedBy>roula1</cp:lastModifiedBy>
  <cp:revision>3</cp:revision>
  <cp:lastPrinted>2013-10-11T08:21:00Z</cp:lastPrinted>
  <dcterms:created xsi:type="dcterms:W3CDTF">2014-10-08T06:06:00Z</dcterms:created>
  <dcterms:modified xsi:type="dcterms:W3CDTF">2014-10-17T07:41:00Z</dcterms:modified>
</cp:coreProperties>
</file>